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5614"/>
      </w:tblGrid>
      <w:tr w:rsidR="000C073F" w:rsidRPr="000C073F" w:rsidTr="000C073F">
        <w:trPr>
          <w:trHeight w:val="423"/>
        </w:trPr>
        <w:tc>
          <w:tcPr>
            <w:tcW w:w="15614" w:type="dxa"/>
            <w:shd w:val="pct10" w:color="auto" w:fill="auto"/>
            <w:vAlign w:val="center"/>
          </w:tcPr>
          <w:p w:rsidR="000C073F" w:rsidRPr="000C073F" w:rsidRDefault="000C073F" w:rsidP="000C073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C073F">
              <w:rPr>
                <w:rFonts w:ascii="Arial" w:hAnsi="Arial" w:cs="Arial"/>
                <w:b/>
                <w:sz w:val="22"/>
                <w:szCs w:val="22"/>
                <w:lang w:val="en-US"/>
              </w:rPr>
              <w:t>IELTS Writing Task 1: types of graphical data</w:t>
            </w:r>
          </w:p>
        </w:tc>
      </w:tr>
    </w:tbl>
    <w:p w:rsidR="000C073F" w:rsidRPr="00ED7547" w:rsidRDefault="000C073F"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Style w:val="TableGrid"/>
        <w:tblW w:w="14247" w:type="dxa"/>
        <w:tblLook w:val="04A0" w:firstRow="1" w:lastRow="0" w:firstColumn="1" w:lastColumn="0" w:noHBand="0" w:noVBand="1"/>
      </w:tblPr>
      <w:tblGrid>
        <w:gridCol w:w="5856"/>
        <w:gridCol w:w="2190"/>
        <w:gridCol w:w="3261"/>
        <w:gridCol w:w="2940"/>
      </w:tblGrid>
      <w:tr w:rsidR="000C073F" w:rsidTr="000C073F">
        <w:trPr>
          <w:trHeight w:val="568"/>
        </w:trPr>
        <w:tc>
          <w:tcPr>
            <w:tcW w:w="5856" w:type="dxa"/>
            <w:shd w:val="pct10" w:color="auto" w:fill="auto"/>
            <w:vAlign w:val="center"/>
          </w:tcPr>
          <w:p w:rsidR="009E3369" w:rsidRPr="00445B16" w:rsidRDefault="009E3369" w:rsidP="009E336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45B16">
              <w:rPr>
                <w:rFonts w:ascii="Arial" w:hAnsi="Arial" w:cs="Arial"/>
                <w:b/>
                <w:sz w:val="22"/>
                <w:szCs w:val="22"/>
                <w:lang w:val="en-US"/>
              </w:rPr>
              <w:t>Example</w:t>
            </w:r>
          </w:p>
        </w:tc>
        <w:tc>
          <w:tcPr>
            <w:tcW w:w="2190" w:type="dxa"/>
            <w:shd w:val="pct10" w:color="auto" w:fill="auto"/>
            <w:vAlign w:val="center"/>
          </w:tcPr>
          <w:p w:rsidR="009E3369" w:rsidRPr="00445B16" w:rsidRDefault="009E3369" w:rsidP="009E336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45B16">
              <w:rPr>
                <w:rFonts w:ascii="Arial" w:hAnsi="Arial" w:cs="Arial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3261" w:type="dxa"/>
            <w:shd w:val="pct10" w:color="auto" w:fill="auto"/>
            <w:vAlign w:val="center"/>
          </w:tcPr>
          <w:p w:rsidR="009E3369" w:rsidRPr="00445B16" w:rsidRDefault="009E3369" w:rsidP="00445B1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45B16">
              <w:rPr>
                <w:rFonts w:ascii="Arial" w:hAnsi="Arial" w:cs="Arial"/>
                <w:b/>
                <w:sz w:val="22"/>
                <w:szCs w:val="22"/>
                <w:lang w:val="en-US"/>
              </w:rPr>
              <w:t>Main features of example</w:t>
            </w:r>
            <w:r w:rsidR="00445B1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shown</w:t>
            </w:r>
          </w:p>
        </w:tc>
        <w:tc>
          <w:tcPr>
            <w:tcW w:w="2940" w:type="dxa"/>
            <w:shd w:val="pct10" w:color="auto" w:fill="auto"/>
            <w:vAlign w:val="center"/>
          </w:tcPr>
          <w:p w:rsidR="009E3369" w:rsidRPr="00445B16" w:rsidRDefault="009E3369" w:rsidP="009E336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45B16">
              <w:rPr>
                <w:rFonts w:ascii="Arial" w:hAnsi="Arial" w:cs="Arial"/>
                <w:b/>
                <w:sz w:val="22"/>
                <w:szCs w:val="22"/>
                <w:lang w:val="en-US"/>
              </w:rPr>
              <w:t>Key language</w:t>
            </w:r>
          </w:p>
        </w:tc>
      </w:tr>
      <w:tr w:rsidR="009E3369" w:rsidTr="000C073F">
        <w:trPr>
          <w:trHeight w:val="3598"/>
        </w:trPr>
        <w:tc>
          <w:tcPr>
            <w:tcW w:w="5856" w:type="dxa"/>
          </w:tcPr>
          <w:p w:rsidR="009E3369" w:rsidRDefault="009E3369">
            <w:pPr>
              <w:rPr>
                <w:lang w:val="en-US"/>
              </w:rPr>
            </w:pPr>
          </w:p>
          <w:p w:rsidR="004D13A8" w:rsidRDefault="000C073F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10B7AE3" wp14:editId="407636F9">
                  <wp:extent cx="3524250" cy="1809750"/>
                  <wp:effectExtent l="0" t="0" r="19050" b="1905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:rsidR="009E3369" w:rsidRDefault="009E3369">
            <w:pPr>
              <w:rPr>
                <w:lang w:val="en-US"/>
              </w:rPr>
            </w:pPr>
          </w:p>
          <w:p w:rsidR="004D13A8" w:rsidRDefault="004D13A8">
            <w:pPr>
              <w:rPr>
                <w:lang w:val="en-US"/>
              </w:rPr>
            </w:pPr>
          </w:p>
        </w:tc>
        <w:tc>
          <w:tcPr>
            <w:tcW w:w="2190" w:type="dxa"/>
          </w:tcPr>
          <w:p w:rsidR="009E3369" w:rsidRDefault="009E3369">
            <w:pPr>
              <w:rPr>
                <w:lang w:val="en-US"/>
              </w:rPr>
            </w:pPr>
          </w:p>
          <w:p w:rsidR="00A17C97" w:rsidRDefault="00A17C97">
            <w:pPr>
              <w:rPr>
                <w:lang w:val="en-US"/>
              </w:rPr>
            </w:pPr>
            <w:r>
              <w:rPr>
                <w:lang w:val="en-US"/>
              </w:rPr>
              <w:t>Pie chart</w:t>
            </w:r>
          </w:p>
        </w:tc>
        <w:tc>
          <w:tcPr>
            <w:tcW w:w="3261" w:type="dxa"/>
          </w:tcPr>
          <w:p w:rsidR="009E3369" w:rsidRDefault="009E3369">
            <w:pPr>
              <w:rPr>
                <w:lang w:val="en-US"/>
              </w:rPr>
            </w:pPr>
          </w:p>
          <w:p w:rsidR="00A17C97" w:rsidRDefault="00A17C97" w:rsidP="00190007">
            <w:pPr>
              <w:rPr>
                <w:lang w:val="en-US"/>
              </w:rPr>
            </w:pPr>
            <w:r>
              <w:rPr>
                <w:lang w:val="en-US"/>
              </w:rPr>
              <w:t xml:space="preserve">Over half </w:t>
            </w:r>
            <w:r w:rsidR="00190007">
              <w:rPr>
                <w:lang w:val="en-US"/>
              </w:rPr>
              <w:t xml:space="preserve">of </w:t>
            </w:r>
            <w:r>
              <w:rPr>
                <w:lang w:val="en-US"/>
              </w:rPr>
              <w:t xml:space="preserve">the working population </w:t>
            </w:r>
            <w:r w:rsidR="00190007">
              <w:rPr>
                <w:lang w:val="en-US"/>
              </w:rPr>
              <w:t>is employed</w:t>
            </w:r>
            <w:r>
              <w:rPr>
                <w:lang w:val="en-US"/>
              </w:rPr>
              <w:t xml:space="preserve"> in agriculture</w:t>
            </w:r>
            <w:r w:rsidR="00190007">
              <w:rPr>
                <w:lang w:val="en-US"/>
              </w:rPr>
              <w:t>.</w:t>
            </w:r>
          </w:p>
        </w:tc>
        <w:tc>
          <w:tcPr>
            <w:tcW w:w="2940" w:type="dxa"/>
          </w:tcPr>
          <w:p w:rsidR="009E3369" w:rsidRDefault="009E3369">
            <w:pPr>
              <w:rPr>
                <w:lang w:val="en-US"/>
              </w:rPr>
            </w:pPr>
          </w:p>
          <w:p w:rsidR="00A17C97" w:rsidRDefault="00A17C97">
            <w:pPr>
              <w:rPr>
                <w:lang w:val="en-US"/>
              </w:rPr>
            </w:pPr>
            <w:r>
              <w:rPr>
                <w:lang w:val="en-US"/>
              </w:rPr>
              <w:t>Language for comparing, expressing quantity and contrasting</w:t>
            </w:r>
            <w:r w:rsidR="00190007">
              <w:rPr>
                <w:lang w:val="en-US"/>
              </w:rPr>
              <w:t>.</w:t>
            </w:r>
          </w:p>
        </w:tc>
      </w:tr>
      <w:tr w:rsidR="009E3369" w:rsidTr="000C073F">
        <w:trPr>
          <w:trHeight w:val="4043"/>
        </w:trPr>
        <w:tc>
          <w:tcPr>
            <w:tcW w:w="5856" w:type="dxa"/>
          </w:tcPr>
          <w:p w:rsidR="004D13A8" w:rsidRPr="00445B16" w:rsidRDefault="004D13A8">
            <w:pPr>
              <w:rPr>
                <w:rFonts w:ascii="Microsoft Sans Serif" w:hAnsi="Microsoft Sans Serif" w:cs="Microsoft Sans Serif"/>
                <w:b/>
                <w:sz w:val="20"/>
                <w:szCs w:val="20"/>
                <w:lang w:val="en-US"/>
              </w:rPr>
            </w:pPr>
          </w:p>
          <w:p w:rsidR="009E3369" w:rsidRPr="00445B16" w:rsidRDefault="004D13A8">
            <w:pPr>
              <w:rPr>
                <w:rFonts w:ascii="Microsoft Sans Serif" w:hAnsi="Microsoft Sans Serif" w:cs="Microsoft Sans Serif"/>
                <w:b/>
                <w:sz w:val="22"/>
                <w:szCs w:val="22"/>
                <w:lang w:val="en-US"/>
              </w:rPr>
            </w:pPr>
            <w:r w:rsidRPr="00445B16">
              <w:rPr>
                <w:rFonts w:ascii="Microsoft Sans Serif" w:hAnsi="Microsoft Sans Serif" w:cs="Microsoft Sans Serif"/>
                <w:b/>
                <w:sz w:val="22"/>
                <w:szCs w:val="22"/>
                <w:lang w:val="en-US"/>
              </w:rPr>
              <w:t>Male and Female workers by sector, 1998</w:t>
            </w:r>
            <w:r w:rsidR="000C073F" w:rsidRPr="00445B16">
              <w:rPr>
                <w:rFonts w:ascii="Microsoft Sans Serif" w:hAnsi="Microsoft Sans Serif" w:cs="Microsoft Sans Serif"/>
                <w:b/>
                <w:sz w:val="22"/>
                <w:szCs w:val="22"/>
                <w:lang w:val="en-US"/>
              </w:rPr>
              <w:t>.</w:t>
            </w:r>
          </w:p>
          <w:p w:rsidR="004D13A8" w:rsidRPr="004D13A8" w:rsidRDefault="004D13A8">
            <w:pPr>
              <w:rPr>
                <w:rFonts w:ascii="Microsoft Sans Serif" w:hAnsi="Microsoft Sans Serif" w:cs="Microsoft Sans Serif"/>
                <w:b/>
                <w:sz w:val="16"/>
                <w:szCs w:val="16"/>
                <w:lang w:val="en-US"/>
              </w:rPr>
            </w:pPr>
          </w:p>
          <w:p w:rsidR="009E3369" w:rsidRDefault="00ED7547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227C680" wp14:editId="1AF6E063">
                  <wp:extent cx="3571875" cy="2000250"/>
                  <wp:effectExtent l="0" t="0" r="9525" b="1905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2190" w:type="dxa"/>
          </w:tcPr>
          <w:p w:rsidR="009E3369" w:rsidRDefault="009E3369">
            <w:pPr>
              <w:rPr>
                <w:lang w:val="en-US"/>
              </w:rPr>
            </w:pPr>
          </w:p>
          <w:p w:rsidR="00A17C97" w:rsidRDefault="00A17C97">
            <w:pPr>
              <w:rPr>
                <w:lang w:val="en-US"/>
              </w:rPr>
            </w:pPr>
            <w:r>
              <w:rPr>
                <w:lang w:val="en-US"/>
              </w:rPr>
              <w:t>Bar chart</w:t>
            </w:r>
          </w:p>
        </w:tc>
        <w:tc>
          <w:tcPr>
            <w:tcW w:w="3261" w:type="dxa"/>
          </w:tcPr>
          <w:p w:rsidR="009E3369" w:rsidRDefault="009E3369">
            <w:pPr>
              <w:rPr>
                <w:lang w:val="en-US"/>
              </w:rPr>
            </w:pPr>
          </w:p>
          <w:p w:rsidR="00A17C97" w:rsidRDefault="00A17C97">
            <w:pPr>
              <w:rPr>
                <w:lang w:val="en-US"/>
              </w:rPr>
            </w:pPr>
            <w:r>
              <w:rPr>
                <w:lang w:val="en-US"/>
              </w:rPr>
              <w:t>There are considerably more men in all sectors except banking.</w:t>
            </w:r>
          </w:p>
        </w:tc>
        <w:tc>
          <w:tcPr>
            <w:tcW w:w="2940" w:type="dxa"/>
          </w:tcPr>
          <w:p w:rsidR="009E3369" w:rsidRDefault="009E3369">
            <w:pPr>
              <w:rPr>
                <w:lang w:val="en-US"/>
              </w:rPr>
            </w:pPr>
          </w:p>
          <w:p w:rsidR="00A17C97" w:rsidRDefault="00A17C97">
            <w:pPr>
              <w:rPr>
                <w:lang w:val="en-US"/>
              </w:rPr>
            </w:pPr>
            <w:r>
              <w:rPr>
                <w:lang w:val="en-US"/>
              </w:rPr>
              <w:t>Language for comparing, expressing quantity and contrasting</w:t>
            </w:r>
            <w:r w:rsidR="00190007">
              <w:rPr>
                <w:lang w:val="en-US"/>
              </w:rPr>
              <w:t>.</w:t>
            </w:r>
          </w:p>
        </w:tc>
      </w:tr>
      <w:tr w:rsidR="009E3369" w:rsidTr="005B10B4">
        <w:trPr>
          <w:trHeight w:val="4392"/>
        </w:trPr>
        <w:tc>
          <w:tcPr>
            <w:tcW w:w="5856" w:type="dxa"/>
          </w:tcPr>
          <w:p w:rsidR="004D13A8" w:rsidRDefault="004D13A8">
            <w:pPr>
              <w:rPr>
                <w:lang w:val="en-US"/>
              </w:rPr>
            </w:pPr>
          </w:p>
          <w:p w:rsidR="004D13A8" w:rsidRPr="00445B16" w:rsidRDefault="004D13A8">
            <w:pPr>
              <w:rPr>
                <w:rFonts w:ascii="Microsoft Sans Serif" w:hAnsi="Microsoft Sans Serif" w:cs="Microsoft Sans Serif"/>
                <w:b/>
                <w:sz w:val="22"/>
                <w:szCs w:val="22"/>
                <w:lang w:val="en-US"/>
              </w:rPr>
            </w:pPr>
            <w:r w:rsidRPr="00445B16">
              <w:rPr>
                <w:rFonts w:ascii="Microsoft Sans Serif" w:hAnsi="Microsoft Sans Serif" w:cs="Microsoft Sans Serif"/>
                <w:b/>
                <w:sz w:val="22"/>
                <w:szCs w:val="22"/>
                <w:lang w:val="en-US"/>
              </w:rPr>
              <w:t>Employment in manufacturing. Hong Kong and USA</w:t>
            </w:r>
            <w:r w:rsidR="000C073F" w:rsidRPr="00445B16">
              <w:rPr>
                <w:rFonts w:ascii="Microsoft Sans Serif" w:hAnsi="Microsoft Sans Serif" w:cs="Microsoft Sans Serif"/>
                <w:b/>
                <w:sz w:val="22"/>
                <w:szCs w:val="22"/>
                <w:lang w:val="en-US"/>
              </w:rPr>
              <w:t>.</w:t>
            </w:r>
          </w:p>
          <w:p w:rsidR="000C073F" w:rsidRPr="004D13A8" w:rsidRDefault="000C073F">
            <w:pPr>
              <w:rPr>
                <w:rFonts w:ascii="Microsoft Sans Serif" w:hAnsi="Microsoft Sans Serif" w:cs="Microsoft Sans Serif"/>
                <w:b/>
                <w:sz w:val="20"/>
                <w:szCs w:val="20"/>
                <w:lang w:val="en-US"/>
              </w:rPr>
            </w:pPr>
          </w:p>
          <w:p w:rsidR="00ED7547" w:rsidRDefault="00005931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821389E" wp14:editId="7D85B473">
                  <wp:extent cx="3514725" cy="2152650"/>
                  <wp:effectExtent l="0" t="0" r="9525" b="19050"/>
                  <wp:docPr id="3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2190" w:type="dxa"/>
          </w:tcPr>
          <w:p w:rsidR="009E3369" w:rsidRDefault="009E3369">
            <w:pPr>
              <w:rPr>
                <w:lang w:val="en-US"/>
              </w:rPr>
            </w:pPr>
          </w:p>
          <w:p w:rsidR="00A17C97" w:rsidRDefault="00A17C97">
            <w:pPr>
              <w:rPr>
                <w:lang w:val="en-US"/>
              </w:rPr>
            </w:pPr>
            <w:r>
              <w:rPr>
                <w:lang w:val="en-US"/>
              </w:rPr>
              <w:t>Graph / line graph</w:t>
            </w:r>
          </w:p>
        </w:tc>
        <w:tc>
          <w:tcPr>
            <w:tcW w:w="3261" w:type="dxa"/>
          </w:tcPr>
          <w:p w:rsidR="009E3369" w:rsidRDefault="009E3369">
            <w:pPr>
              <w:rPr>
                <w:lang w:val="en-US"/>
              </w:rPr>
            </w:pPr>
          </w:p>
          <w:p w:rsidR="00A17C97" w:rsidRDefault="00A17C97">
            <w:pPr>
              <w:rPr>
                <w:lang w:val="en-US"/>
              </w:rPr>
            </w:pPr>
            <w:r>
              <w:rPr>
                <w:lang w:val="en-US"/>
              </w:rPr>
              <w:t>The number of people employed in manufacturing decreased significantly in both Hong Kong and the USA.</w:t>
            </w:r>
          </w:p>
          <w:p w:rsidR="00A17C97" w:rsidRDefault="00A17C97">
            <w:pPr>
              <w:rPr>
                <w:lang w:val="en-US"/>
              </w:rPr>
            </w:pPr>
          </w:p>
          <w:p w:rsidR="00A17C97" w:rsidRDefault="00A17C97" w:rsidP="00A17C97">
            <w:pPr>
              <w:rPr>
                <w:lang w:val="en-US"/>
              </w:rPr>
            </w:pPr>
            <w:r>
              <w:rPr>
                <w:lang w:val="en-US"/>
              </w:rPr>
              <w:t>In the USA it fell steadily until around 2000 and then more sharply. In Hong Kong there was a sharp decrease until around 1995, and a more gradual fall since then.</w:t>
            </w:r>
          </w:p>
        </w:tc>
        <w:tc>
          <w:tcPr>
            <w:tcW w:w="2940" w:type="dxa"/>
          </w:tcPr>
          <w:p w:rsidR="009E3369" w:rsidRDefault="009E3369">
            <w:pPr>
              <w:rPr>
                <w:lang w:val="en-US"/>
              </w:rPr>
            </w:pPr>
          </w:p>
          <w:p w:rsidR="00A17C97" w:rsidRDefault="00A17C97">
            <w:pPr>
              <w:rPr>
                <w:lang w:val="en-US"/>
              </w:rPr>
            </w:pPr>
            <w:r>
              <w:rPr>
                <w:lang w:val="en-US"/>
              </w:rPr>
              <w:t xml:space="preserve">Language for comparing, contrasting, expressing quantity and describing graphs (fall, rise, fluctuate etc.), time expressions (from, during, </w:t>
            </w:r>
            <w:proofErr w:type="spellStart"/>
            <w:r>
              <w:rPr>
                <w:lang w:val="en-US"/>
              </w:rPr>
              <w:t>to</w:t>
            </w:r>
            <w:proofErr w:type="spellEnd"/>
            <w:r>
              <w:rPr>
                <w:lang w:val="en-US"/>
              </w:rPr>
              <w:t>, since etc.)</w:t>
            </w:r>
          </w:p>
        </w:tc>
      </w:tr>
      <w:tr w:rsidR="009E3369" w:rsidTr="000C073F">
        <w:trPr>
          <w:trHeight w:val="5531"/>
        </w:trPr>
        <w:tc>
          <w:tcPr>
            <w:tcW w:w="5856" w:type="dxa"/>
          </w:tcPr>
          <w:tbl>
            <w:tblPr>
              <w:tblpPr w:leftFromText="180" w:rightFromText="180" w:vertAnchor="page" w:horzAnchor="margin" w:tblpY="1531"/>
              <w:tblOverlap w:val="never"/>
              <w:tblW w:w="0" w:type="auto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003"/>
              <w:gridCol w:w="1017"/>
              <w:gridCol w:w="910"/>
              <w:gridCol w:w="857"/>
              <w:gridCol w:w="1004"/>
              <w:gridCol w:w="830"/>
            </w:tblGrid>
            <w:tr w:rsidR="004D13A8" w:rsidTr="000C073F">
              <w:trPr>
                <w:trHeight w:val="161"/>
              </w:trPr>
              <w:tc>
                <w:tcPr>
                  <w:tcW w:w="1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E6E6E6"/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E6E6E6"/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b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b/>
                      <w:sz w:val="20"/>
                      <w:szCs w:val="20"/>
                    </w:rPr>
                    <w:t>Listening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E6E6E6"/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b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b/>
                      <w:sz w:val="20"/>
                      <w:szCs w:val="20"/>
                    </w:rPr>
                    <w:t>Reading</w:t>
                  </w:r>
                </w:p>
              </w:tc>
              <w:tc>
                <w:tcPr>
                  <w:tcW w:w="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E6E6E6"/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b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b/>
                      <w:sz w:val="20"/>
                      <w:szCs w:val="20"/>
                    </w:rPr>
                    <w:t>Writing</w:t>
                  </w:r>
                </w:p>
              </w:tc>
              <w:tc>
                <w:tcPr>
                  <w:tcW w:w="10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E6E6E6"/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b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b/>
                      <w:sz w:val="20"/>
                      <w:szCs w:val="20"/>
                    </w:rPr>
                    <w:t>Speaking</w:t>
                  </w:r>
                </w:p>
              </w:tc>
              <w:tc>
                <w:tcPr>
                  <w:tcW w:w="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6E6E6"/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b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b/>
                      <w:sz w:val="20"/>
                      <w:szCs w:val="20"/>
                    </w:rPr>
                    <w:t>Overall</w:t>
                  </w:r>
                </w:p>
              </w:tc>
            </w:tr>
            <w:tr w:rsidR="004D13A8" w:rsidTr="000C073F">
              <w:trPr>
                <w:trHeight w:val="161"/>
              </w:trPr>
              <w:tc>
                <w:tcPr>
                  <w:tcW w:w="100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b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b/>
                      <w:sz w:val="20"/>
                      <w:szCs w:val="20"/>
                    </w:rPr>
                    <w:t>France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6.73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7.00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6.12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6.43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6.63</w:t>
                  </w:r>
                </w:p>
              </w:tc>
            </w:tr>
            <w:tr w:rsidR="004D13A8" w:rsidTr="000C073F">
              <w:trPr>
                <w:trHeight w:val="169"/>
              </w:trPr>
              <w:tc>
                <w:tcPr>
                  <w:tcW w:w="100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b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b/>
                      <w:sz w:val="20"/>
                      <w:szCs w:val="20"/>
                    </w:rPr>
                    <w:t>Germany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7.36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7.19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6.59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7.24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7.16</w:t>
                  </w:r>
                </w:p>
              </w:tc>
            </w:tr>
            <w:tr w:rsidR="004D13A8" w:rsidTr="000C073F">
              <w:trPr>
                <w:trHeight w:val="329"/>
              </w:trPr>
              <w:tc>
                <w:tcPr>
                  <w:tcW w:w="100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05931" w:rsidRPr="005B10B4" w:rsidRDefault="00005931" w:rsidP="004D13A8">
                  <w:pPr>
                    <w:pStyle w:val="TableContents"/>
                    <w:rPr>
                      <w:rFonts w:ascii="Microsoft Sans Serif" w:hAnsi="Microsoft Sans Serif" w:cs="Microsoft Sans Serif"/>
                      <w:b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b/>
                      <w:sz w:val="20"/>
                      <w:szCs w:val="20"/>
                    </w:rPr>
                    <w:t>H</w:t>
                  </w:r>
                  <w:r w:rsidR="004D13A8" w:rsidRPr="005B10B4">
                    <w:rPr>
                      <w:rFonts w:ascii="Microsoft Sans Serif" w:hAnsi="Microsoft Sans Serif" w:cs="Microsoft Sans Serif"/>
                      <w:b/>
                      <w:sz w:val="20"/>
                      <w:szCs w:val="20"/>
                    </w:rPr>
                    <w:t>K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6.65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6.64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5.77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5.93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6.31</w:t>
                  </w:r>
                </w:p>
              </w:tc>
            </w:tr>
            <w:tr w:rsidR="004D13A8" w:rsidTr="000C073F">
              <w:trPr>
                <w:trHeight w:val="169"/>
              </w:trPr>
              <w:tc>
                <w:tcPr>
                  <w:tcW w:w="100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b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b/>
                      <w:sz w:val="20"/>
                      <w:szCs w:val="20"/>
                    </w:rPr>
                    <w:t>Japan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5.89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5.86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5.35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5.80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5.79</w:t>
                  </w:r>
                </w:p>
              </w:tc>
            </w:tr>
            <w:tr w:rsidR="004D13A8" w:rsidTr="000C073F">
              <w:trPr>
                <w:trHeight w:val="161"/>
              </w:trPr>
              <w:tc>
                <w:tcPr>
                  <w:tcW w:w="100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b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b/>
                      <w:sz w:val="20"/>
                      <w:szCs w:val="20"/>
                    </w:rPr>
                    <w:t>Thailand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5.84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5.80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5.29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5.67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05931" w:rsidRPr="005B10B4" w:rsidRDefault="00005931" w:rsidP="007A5159">
                  <w:pPr>
                    <w:pStyle w:val="TableContents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5B10B4"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  <w:t>5.71</w:t>
                  </w:r>
                </w:p>
              </w:tc>
            </w:tr>
          </w:tbl>
          <w:p w:rsidR="009E3369" w:rsidRDefault="009E3369">
            <w:pPr>
              <w:rPr>
                <w:lang w:val="en-US"/>
              </w:rPr>
            </w:pPr>
          </w:p>
          <w:p w:rsidR="00005931" w:rsidRDefault="00005931">
            <w:pPr>
              <w:rPr>
                <w:lang w:val="en-US"/>
              </w:rPr>
            </w:pPr>
          </w:p>
          <w:p w:rsidR="00005931" w:rsidRPr="00445B16" w:rsidRDefault="000C073F" w:rsidP="000C073F">
            <w:pPr>
              <w:rPr>
                <w:rFonts w:ascii="Microsoft Sans Serif" w:hAnsi="Microsoft Sans Serif" w:cs="Microsoft Sans Serif"/>
                <w:b/>
                <w:sz w:val="22"/>
                <w:szCs w:val="22"/>
                <w:lang w:val="en-US"/>
              </w:rPr>
            </w:pPr>
            <w:r w:rsidRPr="00445B16">
              <w:rPr>
                <w:rFonts w:ascii="Microsoft Sans Serif" w:hAnsi="Microsoft Sans Serif" w:cs="Microsoft Sans Serif"/>
                <w:b/>
                <w:sz w:val="22"/>
                <w:szCs w:val="22"/>
                <w:lang w:val="en-US"/>
              </w:rPr>
              <w:t>IELTS scores by country 2009.</w:t>
            </w:r>
          </w:p>
        </w:tc>
        <w:tc>
          <w:tcPr>
            <w:tcW w:w="2190" w:type="dxa"/>
          </w:tcPr>
          <w:p w:rsidR="009E3369" w:rsidRDefault="009E3369">
            <w:pPr>
              <w:rPr>
                <w:lang w:val="en-US"/>
              </w:rPr>
            </w:pPr>
          </w:p>
          <w:p w:rsidR="00A17C97" w:rsidRDefault="00A17C97">
            <w:pPr>
              <w:rPr>
                <w:lang w:val="en-US"/>
              </w:rPr>
            </w:pPr>
            <w:r>
              <w:rPr>
                <w:lang w:val="en-US"/>
              </w:rPr>
              <w:t>Table</w:t>
            </w:r>
          </w:p>
        </w:tc>
        <w:tc>
          <w:tcPr>
            <w:tcW w:w="3261" w:type="dxa"/>
          </w:tcPr>
          <w:p w:rsidR="009E3369" w:rsidRDefault="009E3369">
            <w:pPr>
              <w:rPr>
                <w:lang w:val="en-US"/>
              </w:rPr>
            </w:pPr>
          </w:p>
          <w:p w:rsidR="00A17C97" w:rsidRDefault="00A17C97" w:rsidP="00190007">
            <w:pPr>
              <w:rPr>
                <w:lang w:val="en-US"/>
              </w:rPr>
            </w:pPr>
            <w:r>
              <w:rPr>
                <w:lang w:val="en-US"/>
              </w:rPr>
              <w:t>Scores for Europe are generally slightly higher than for Asia. Students in both areas tended to get lower grades for the writing</w:t>
            </w:r>
            <w:r w:rsidR="0006011D">
              <w:rPr>
                <w:lang w:val="en-US"/>
              </w:rPr>
              <w:t xml:space="preserve"> part of the</w:t>
            </w:r>
            <w:bookmarkStart w:id="0" w:name="_GoBack"/>
            <w:bookmarkEnd w:id="0"/>
            <w:r>
              <w:rPr>
                <w:lang w:val="en-US"/>
              </w:rPr>
              <w:t xml:space="preserve"> test and </w:t>
            </w:r>
            <w:r w:rsidR="00190007">
              <w:rPr>
                <w:lang w:val="en-US"/>
              </w:rPr>
              <w:t>rather</w:t>
            </w:r>
            <w:r>
              <w:rPr>
                <w:lang w:val="en-US"/>
              </w:rPr>
              <w:t xml:space="preserve"> higher grades for listening and reading.   </w:t>
            </w:r>
          </w:p>
        </w:tc>
        <w:tc>
          <w:tcPr>
            <w:tcW w:w="2940" w:type="dxa"/>
          </w:tcPr>
          <w:p w:rsidR="009E3369" w:rsidRDefault="009E3369">
            <w:pPr>
              <w:rPr>
                <w:lang w:val="en-US"/>
              </w:rPr>
            </w:pPr>
          </w:p>
          <w:p w:rsidR="00190007" w:rsidRDefault="00190007">
            <w:pPr>
              <w:rPr>
                <w:lang w:val="en-US"/>
              </w:rPr>
            </w:pPr>
            <w:r>
              <w:rPr>
                <w:lang w:val="en-US"/>
              </w:rPr>
              <w:t>Language for comparing, expressing quantity and contrasting</w:t>
            </w:r>
            <w:r>
              <w:rPr>
                <w:lang w:val="en-US"/>
              </w:rPr>
              <w:t>.</w:t>
            </w:r>
          </w:p>
        </w:tc>
      </w:tr>
    </w:tbl>
    <w:p w:rsidR="009E3369" w:rsidRPr="009E3369" w:rsidRDefault="009E3369">
      <w:pPr>
        <w:rPr>
          <w:lang w:val="en-US"/>
        </w:rPr>
      </w:pPr>
    </w:p>
    <w:sectPr w:rsidR="009E3369" w:rsidRPr="009E3369" w:rsidSect="00ED7547">
      <w:type w:val="continuous"/>
      <w:pgSz w:w="16838" w:h="11906" w:orient="landscape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69"/>
    <w:rsid w:val="00005931"/>
    <w:rsid w:val="0006011D"/>
    <w:rsid w:val="000B783B"/>
    <w:rsid w:val="000C073F"/>
    <w:rsid w:val="000E1978"/>
    <w:rsid w:val="000F5785"/>
    <w:rsid w:val="00190007"/>
    <w:rsid w:val="002C755B"/>
    <w:rsid w:val="00406F3A"/>
    <w:rsid w:val="00445B16"/>
    <w:rsid w:val="004D13A8"/>
    <w:rsid w:val="00512B5E"/>
    <w:rsid w:val="005B10B4"/>
    <w:rsid w:val="008B0014"/>
    <w:rsid w:val="009E3369"/>
    <w:rsid w:val="00A17C97"/>
    <w:rsid w:val="00C91FA9"/>
    <w:rsid w:val="00CB7016"/>
    <w:rsid w:val="00ED7547"/>
    <w:rsid w:val="00F3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3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369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uiPriority w:val="99"/>
    <w:rsid w:val="0000593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ahom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3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369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uiPriority w:val="99"/>
    <w:rsid w:val="0000593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200" baseline="0"/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Working population by sector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dPt>
            <c:idx val="0"/>
            <c:bubble3D val="0"/>
            <c:spPr>
              <a:solidFill>
                <a:schemeClr val="tx2">
                  <a:lumMod val="40000"/>
                  <a:lumOff val="60000"/>
                  <a:alpha val="37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solidFill>
                <a:srgbClr val="FFFF00"/>
              </a:solidFill>
              <a:ln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</c:spPr>
          </c:dPt>
          <c:cat>
            <c:strRef>
              <c:f>Sheet1!$A$2:$A$5</c:f>
              <c:strCache>
                <c:ptCount val="4"/>
                <c:pt idx="0">
                  <c:v>Agriculture</c:v>
                </c:pt>
                <c:pt idx="1">
                  <c:v>Transport</c:v>
                </c:pt>
                <c:pt idx="2">
                  <c:v>Manufacturing</c:v>
                </c:pt>
                <c:pt idx="3">
                  <c:v>Banking and finance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6.2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1411420869688584"/>
          <c:y val="0.2851156237049316"/>
          <c:w val="0.46666666666666667"/>
          <c:h val="0.57810305290786013"/>
        </c:manualLayout>
      </c:layout>
      <c:overlay val="0"/>
      <c:txPr>
        <a:bodyPr/>
        <a:lstStyle/>
        <a:p>
          <a:pPr>
            <a:defRPr sz="1000" baseline="0">
              <a:latin typeface="Microsoft Sans Serif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157463597305114"/>
          <c:y val="0.15164712324628485"/>
          <c:w val="0.62488692913385824"/>
          <c:h val="0.565248343957005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Male</c:v>
                </c:pt>
              </c:strCache>
            </c:strRef>
          </c:tx>
          <c:spPr>
            <a:pattFill prst="wdUpDiag">
              <a:fgClr>
                <a:schemeClr val="accent2">
                  <a:lumMod val="75000"/>
                </a:schemeClr>
              </a:fgClr>
              <a:bgClr>
                <a:schemeClr val="tx2">
                  <a:lumMod val="40000"/>
                  <a:lumOff val="60000"/>
                </a:schemeClr>
              </a:bgClr>
            </a:pattFill>
          </c:spPr>
          <c:invertIfNegative val="0"/>
          <c:cat>
            <c:strRef>
              <c:f>Sheet1!$A$3:$A$6</c:f>
              <c:strCache>
                <c:ptCount val="4"/>
                <c:pt idx="0">
                  <c:v>Agriculture</c:v>
                </c:pt>
                <c:pt idx="1">
                  <c:v>Transport</c:v>
                </c:pt>
                <c:pt idx="2">
                  <c:v>Manufacturing</c:v>
                </c:pt>
                <c:pt idx="3">
                  <c:v>Banking </c:v>
                </c:pt>
              </c:strCache>
            </c:strRef>
          </c:cat>
          <c:val>
            <c:numRef>
              <c:f>Sheet1!$B$3:$B$6</c:f>
              <c:numCache>
                <c:formatCode>General</c:formatCode>
                <c:ptCount val="4"/>
                <c:pt idx="0">
                  <c:v>74</c:v>
                </c:pt>
                <c:pt idx="1">
                  <c:v>60</c:v>
                </c:pt>
                <c:pt idx="2">
                  <c:v>80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Female</c:v>
                </c:pt>
              </c:strCache>
            </c:strRef>
          </c:tx>
          <c:spPr>
            <a:pattFill prst="wdDnDiag">
              <a:fgClr>
                <a:schemeClr val="tx2">
                  <a:lumMod val="40000"/>
                  <a:lumOff val="60000"/>
                </a:schemeClr>
              </a:fgClr>
              <a:bgClr>
                <a:schemeClr val="accent3">
                  <a:lumMod val="40000"/>
                  <a:lumOff val="60000"/>
                </a:schemeClr>
              </a:bgClr>
            </a:pattFill>
          </c:spPr>
          <c:invertIfNegative val="0"/>
          <c:cat>
            <c:strRef>
              <c:f>Sheet1!$A$3:$A$6</c:f>
              <c:strCache>
                <c:ptCount val="4"/>
                <c:pt idx="0">
                  <c:v>Agriculture</c:v>
                </c:pt>
                <c:pt idx="1">
                  <c:v>Transport</c:v>
                </c:pt>
                <c:pt idx="2">
                  <c:v>Manufacturing</c:v>
                </c:pt>
                <c:pt idx="3">
                  <c:v>Banking </c:v>
                </c:pt>
              </c:strCache>
            </c:strRef>
          </c:cat>
          <c:val>
            <c:numRef>
              <c:f>Sheet1!$C$3:$C$6</c:f>
              <c:numCache>
                <c:formatCode>General</c:formatCode>
                <c:ptCount val="4"/>
                <c:pt idx="0">
                  <c:v>26</c:v>
                </c:pt>
                <c:pt idx="1">
                  <c:v>40</c:v>
                </c:pt>
                <c:pt idx="2">
                  <c:v>20</c:v>
                </c:pt>
                <c:pt idx="3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78912"/>
        <c:axId val="13513472"/>
      </c:barChart>
      <c:catAx>
        <c:axId val="134789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Microsoft Sans Serif" pitchFamily="34" charset="0"/>
              </a:defRPr>
            </a:pPr>
            <a:endParaRPr lang="en-US"/>
          </a:p>
        </c:txPr>
        <c:crossAx val="13513472"/>
        <c:crosses val="autoZero"/>
        <c:auto val="1"/>
        <c:lblAlgn val="ctr"/>
        <c:lblOffset val="100"/>
        <c:noMultiLvlLbl val="0"/>
      </c:catAx>
      <c:valAx>
        <c:axId val="13513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789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102061242344711"/>
          <c:y val="0.39075115610548683"/>
          <c:w val="0.1976460542432196"/>
          <c:h val="0.30738657667791525"/>
        </c:manualLayout>
      </c:layout>
      <c:overlay val="0"/>
      <c:txPr>
        <a:bodyPr/>
        <a:lstStyle/>
        <a:p>
          <a:pPr>
            <a:defRPr sz="1000" baseline="0">
              <a:latin typeface="Microsoft Sans Serif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616826351990553"/>
          <c:y val="0.14176272344655144"/>
          <c:w val="0.50288279251717738"/>
          <c:h val="0.7312534581825920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USA</c:v>
                </c:pt>
              </c:strCache>
            </c:strRef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none"/>
          </c:marker>
          <c:cat>
            <c:numRef>
              <c:f>Sheet1!$A$2:$A$7</c:f>
              <c:numCache>
                <c:formatCode>General</c:formatCode>
                <c:ptCount val="6"/>
                <c:pt idx="0">
                  <c:v>1985</c:v>
                </c:pt>
                <c:pt idx="1">
                  <c:v>1990</c:v>
                </c:pt>
                <c:pt idx="2">
                  <c:v>1995</c:v>
                </c:pt>
                <c:pt idx="3">
                  <c:v>2000</c:v>
                </c:pt>
                <c:pt idx="4">
                  <c:v>2005</c:v>
                </c:pt>
                <c:pt idx="5">
                  <c:v>2010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60</c:v>
                </c:pt>
                <c:pt idx="1">
                  <c:v>56</c:v>
                </c:pt>
                <c:pt idx="2">
                  <c:v>50</c:v>
                </c:pt>
                <c:pt idx="3">
                  <c:v>45</c:v>
                </c:pt>
                <c:pt idx="4">
                  <c:v>30</c:v>
                </c:pt>
                <c:pt idx="5">
                  <c:v>15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Hong Kong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cat>
            <c:numRef>
              <c:f>Sheet1!$A$2:$A$7</c:f>
              <c:numCache>
                <c:formatCode>General</c:formatCode>
                <c:ptCount val="6"/>
                <c:pt idx="0">
                  <c:v>1985</c:v>
                </c:pt>
                <c:pt idx="1">
                  <c:v>1990</c:v>
                </c:pt>
                <c:pt idx="2">
                  <c:v>1995</c:v>
                </c:pt>
                <c:pt idx="3">
                  <c:v>2000</c:v>
                </c:pt>
                <c:pt idx="4">
                  <c:v>2005</c:v>
                </c:pt>
                <c:pt idx="5">
                  <c:v>2010</c:v>
                </c:pt>
              </c:numCache>
            </c:numRef>
          </c:cat>
          <c:val>
            <c:numRef>
              <c:f>Sheet1!$C$2:$C$7</c:f>
              <c:numCache>
                <c:formatCode>General</c:formatCode>
                <c:ptCount val="6"/>
                <c:pt idx="0">
                  <c:v>65</c:v>
                </c:pt>
                <c:pt idx="1">
                  <c:v>45</c:v>
                </c:pt>
                <c:pt idx="2">
                  <c:v>30</c:v>
                </c:pt>
                <c:pt idx="3">
                  <c:v>25</c:v>
                </c:pt>
                <c:pt idx="4">
                  <c:v>23</c:v>
                </c:pt>
                <c:pt idx="5">
                  <c:v>20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17536"/>
        <c:axId val="12819072"/>
      </c:lineChart>
      <c:catAx>
        <c:axId val="1281753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Microsoft Sans Serif" pitchFamily="34" charset="0"/>
              </a:defRPr>
            </a:pPr>
            <a:endParaRPr lang="en-US"/>
          </a:p>
        </c:txPr>
        <c:crossAx val="12819072"/>
        <c:crosses val="autoZero"/>
        <c:auto val="1"/>
        <c:lblAlgn val="ctr"/>
        <c:lblOffset val="100"/>
        <c:noMultiLvlLbl val="0"/>
      </c:catAx>
      <c:valAx>
        <c:axId val="12819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8175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stringer</dc:creator>
  <cp:keywords/>
  <dc:description/>
  <cp:lastModifiedBy>stringer</cp:lastModifiedBy>
  <cp:revision>2</cp:revision>
  <cp:lastPrinted>2011-06-20T04:23:00Z</cp:lastPrinted>
  <dcterms:created xsi:type="dcterms:W3CDTF">2011-08-15T11:08:00Z</dcterms:created>
  <dcterms:modified xsi:type="dcterms:W3CDTF">2011-08-15T11:08:00Z</dcterms:modified>
</cp:coreProperties>
</file>